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Calibri" w:hAnsi="Calibri"/>
          <w:color w:val="1F4F5C"/>
        </w:rPr>
        <w:t>Jak vybrat virtuálního asistenta</w:t>
      </w:r>
    </w:p>
    <w:p>
      <w:r>
        <w:t>Sada na výběr: zadání, otázky na pohovor, zkušební úkoly a hodnoticí tabulka. Ke stažení zdarma na executiveassist.cz. Autor: Josef Kopřiva.</w:t>
      </w:r>
    </w:p>
    <w:p>
      <w:pPr>
        <w:pStyle w:val="Heading1"/>
      </w:pPr>
      <w:r>
        <w:rPr>
          <w:rFonts w:ascii="Calibri" w:hAnsi="Calibri"/>
          <w:color w:val="1F4F5C"/>
        </w:rPr>
        <w:t>1. Zadání: co potřebuji</w:t>
      </w:r>
    </w:p>
    <w:p>
      <w:r>
        <w:t>Odpovězte si, než začnete hledat. Stačí stručně.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Otázka</w:t>
            </w:r>
          </w:p>
        </w:tc>
        <w:tc>
          <w:tcPr>
            <w:tcW w:type="dxa" w:w="4873"/>
          </w:tcPr>
          <w:p>
            <w:r>
              <w:t>Moje odpověď</w:t>
            </w:r>
          </w:p>
        </w:tc>
      </w:tr>
      <w:tr>
        <w:tc>
          <w:tcPr>
            <w:tcW w:type="dxa" w:w="4873"/>
          </w:tcPr>
          <w:p>
            <w:r>
              <w:t>Které úkoly chci předat?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t>Jaké dovednosti nebo nástroje vyžadují?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t>Kolik hodin měsíčně to zabírá?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t>Jak chci komunikovat (e-mail, chat, hovor) a jak často?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t>Kolik jsem ochoten měsíčně investovat?</w:t>
            </w:r>
          </w:p>
        </w:tc>
        <w:tc>
          <w:tcPr>
            <w:tcW w:type="dxa" w:w="4873"/>
          </w:tcPr>
          <w:p>
            <w:r/>
          </w:p>
        </w:tc>
      </w:tr>
    </w:tbl>
    <w:p/>
    <w:p>
      <w:pPr>
        <w:pStyle w:val="Heading1"/>
      </w:pPr>
      <w:r>
        <w:rPr>
          <w:rFonts w:ascii="Calibri" w:hAnsi="Calibri"/>
          <w:color w:val="1F4F5C"/>
        </w:rPr>
        <w:t>2. Otázky na pohovor</w:t>
      </w:r>
    </w:p>
    <w:p>
      <w:pPr>
        <w:pStyle w:val="Heading2"/>
      </w:pPr>
      <w:r>
        <w:rPr>
          <w:rFonts w:ascii="Calibri" w:hAnsi="Calibri"/>
          <w:color w:val="1F4F5C"/>
        </w:rPr>
        <w:t>Zkušenosti</w:t>
      </w:r>
    </w:p>
    <w:p>
      <w:pPr>
        <w:pStyle w:val="ListBullet"/>
      </w:pPr>
      <w:r>
        <w:t>Jaké úkoly jste dělali pro klienty podobné mně?</w:t>
      </w:r>
    </w:p>
    <w:p>
      <w:pPr>
        <w:pStyle w:val="ListBullet"/>
      </w:pPr>
      <w:r>
        <w:t>S jakými nástroji pracujete denně?</w:t>
      </w:r>
    </w:p>
    <w:p>
      <w:pPr>
        <w:pStyle w:val="ListBullet"/>
      </w:pPr>
      <w:r>
        <w:t>Popište situaci, kdy se něco nepovedlo, a co jste udělali.</w:t>
      </w:r>
    </w:p>
    <w:p>
      <w:pPr>
        <w:pStyle w:val="Heading2"/>
      </w:pPr>
      <w:r>
        <w:rPr>
          <w:rFonts w:ascii="Calibri" w:hAnsi="Calibri"/>
          <w:color w:val="1F4F5C"/>
        </w:rPr>
        <w:t>Způsob práce</w:t>
      </w:r>
    </w:p>
    <w:p>
      <w:pPr>
        <w:pStyle w:val="ListBullet"/>
      </w:pPr>
      <w:r>
        <w:t>Jak komunikujete s klienty a jak rychle odpovídáte?</w:t>
      </w:r>
    </w:p>
    <w:p>
      <w:pPr>
        <w:pStyle w:val="ListBullet"/>
      </w:pPr>
      <w:r>
        <w:t>Pro kolik klientů pracujete a kolik času pro ně máte?</w:t>
      </w:r>
    </w:p>
    <w:p>
      <w:pPr>
        <w:pStyle w:val="ListBullet"/>
      </w:pPr>
      <w:r>
        <w:t>Co uděláte, když si u úkolu nejste jistí?</w:t>
      </w:r>
    </w:p>
    <w:p>
      <w:pPr>
        <w:pStyle w:val="Heading2"/>
      </w:pPr>
      <w:r>
        <w:rPr>
          <w:rFonts w:ascii="Calibri" w:hAnsi="Calibri"/>
          <w:color w:val="1F4F5C"/>
        </w:rPr>
        <w:t>Spolehlivost</w:t>
      </w:r>
    </w:p>
    <w:p>
      <w:pPr>
        <w:pStyle w:val="ListBullet"/>
      </w:pPr>
      <w:r>
        <w:t>Kdo vás zastoupí při nemoci nebo výpadku?</w:t>
      </w:r>
    </w:p>
    <w:p>
      <w:pPr>
        <w:pStyle w:val="ListBullet"/>
      </w:pPr>
      <w:r>
        <w:t>Jaká je výpovědní lhůta?</w:t>
      </w:r>
    </w:p>
    <w:p>
      <w:pPr>
        <w:pStyle w:val="ListBullet"/>
      </w:pPr>
      <w:r>
        <w:t>Jak zacházíte s citlivými údaji? Podepíšete dohodu o mlčenlivosti?</w:t>
      </w:r>
    </w:p>
    <w:p>
      <w:pPr>
        <w:pStyle w:val="ListBullet"/>
      </w:pPr>
      <w:r>
        <w:t>Proč hledáte nového klienta?</w:t>
      </w:r>
    </w:p>
    <w:p>
      <w:pPr>
        <w:pStyle w:val="Heading1"/>
      </w:pPr>
      <w:r>
        <w:rPr>
          <w:rFonts w:ascii="Calibri" w:hAnsi="Calibri"/>
          <w:color w:val="1F4F5C"/>
        </w:rPr>
        <w:t>3. Zkušební doba (2 až 4 týdny)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Kdy</w:t>
            </w:r>
          </w:p>
        </w:tc>
        <w:tc>
          <w:tcPr>
            <w:tcW w:type="dxa" w:w="3249"/>
          </w:tcPr>
          <w:p>
            <w:r>
              <w:t>Co zadat</w:t>
            </w:r>
          </w:p>
        </w:tc>
        <w:tc>
          <w:tcPr>
            <w:tcW w:type="dxa" w:w="3249"/>
          </w:tcPr>
          <w:p>
            <w:r>
              <w:t>Co sledovat</w:t>
            </w:r>
          </w:p>
        </w:tc>
      </w:tr>
      <w:tr>
        <w:tc>
          <w:tcPr>
            <w:tcW w:type="dxa" w:w="3249"/>
          </w:tcPr>
          <w:p>
            <w:r>
              <w:t>1. týden</w:t>
            </w:r>
          </w:p>
        </w:tc>
        <w:tc>
          <w:tcPr>
            <w:tcW w:type="dxa" w:w="3249"/>
          </w:tcPr>
          <w:p>
            <w:r>
              <w:t>Několik e-mailů, naplánování 2 až 3 schůzek, jeden jednoduchý úkol</w:t>
            </w:r>
          </w:p>
        </w:tc>
        <w:tc>
          <w:tcPr>
            <w:tcW w:type="dxa" w:w="3249"/>
          </w:tcPr>
          <w:p>
            <w:r>
              <w:t>Přesnost, dodržení termínů, rychlost odpovědi</w:t>
            </w:r>
          </w:p>
        </w:tc>
      </w:tr>
      <w:tr>
        <w:tc>
          <w:tcPr>
            <w:tcW w:type="dxa" w:w="3249"/>
          </w:tcPr>
          <w:p>
            <w:r>
              <w:t>2. týden</w:t>
            </w:r>
          </w:p>
        </w:tc>
        <w:tc>
          <w:tcPr>
            <w:tcW w:type="dxa" w:w="3249"/>
          </w:tcPr>
          <w:p>
            <w:r>
              <w:t>Odpovědi na dotazy zákazníků, podklady, krátký přehled</w:t>
            </w:r>
          </w:p>
        </w:tc>
        <w:tc>
          <w:tcPr>
            <w:tcW w:type="dxa" w:w="3249"/>
          </w:tcPr>
          <w:p>
            <w:r>
              <w:t>Samostatnost, kvalita, doptávání se</w:t>
            </w:r>
          </w:p>
        </w:tc>
      </w:tr>
      <w:tr>
        <w:tc>
          <w:tcPr>
            <w:tcW w:type="dxa" w:w="3249"/>
          </w:tcPr>
          <w:p>
            <w:r>
              <w:t>3. až 4. týden</w:t>
            </w:r>
          </w:p>
        </w:tc>
        <w:tc>
          <w:tcPr>
            <w:tcW w:type="dxa" w:w="3249"/>
          </w:tcPr>
          <w:p>
            <w:r>
              <w:t>Běžný objem včetně úkolů, které spěchají</w:t>
            </w:r>
          </w:p>
        </w:tc>
        <w:tc>
          <w:tcPr>
            <w:tcW w:type="dxa" w:w="3249"/>
          </w:tcPr>
          <w:p>
            <w:r>
              <w:t>Priority, stálost, předvídání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1F4F5C"/>
        </w:rPr>
        <w:t>4. Signály</w:t>
      </w:r>
    </w:p>
    <w:p>
      <w:pPr>
        <w:pStyle w:val="Heading2"/>
      </w:pPr>
      <w:r>
        <w:rPr>
          <w:rFonts w:ascii="Calibri" w:hAnsi="Calibri"/>
          <w:color w:val="1F4F5C"/>
        </w:rPr>
        <w:t>Dobré znamení</w:t>
      </w:r>
    </w:p>
    <w:p>
      <w:pPr>
        <w:pStyle w:val="ListBullet"/>
      </w:pPr>
      <w:r>
        <w:t>Sám navrhne zlepšení nebo upozorní na potíž předem.</w:t>
      </w:r>
    </w:p>
    <w:p>
      <w:pPr>
        <w:pStyle w:val="ListBullet"/>
      </w:pPr>
      <w:r>
        <w:t>Chyby se neopakují.</w:t>
      </w:r>
    </w:p>
    <w:p>
      <w:pPr>
        <w:pStyle w:val="ListBullet"/>
      </w:pPr>
      <w:r>
        <w:t>Přizná chybu a navrhne opravu.</w:t>
      </w:r>
    </w:p>
    <w:p>
      <w:pPr>
        <w:pStyle w:val="ListBullet"/>
      </w:pPr>
      <w:r>
        <w:t>Ptá se přesně a nabízí řešení („doporučuji A z tohoto důvodu, souhlasíte?“).</w:t>
      </w:r>
    </w:p>
    <w:p>
      <w:pPr>
        <w:pStyle w:val="Heading2"/>
      </w:pPr>
      <w:r>
        <w:rPr>
          <w:rFonts w:ascii="Calibri" w:hAnsi="Calibri"/>
          <w:color w:val="1F4F5C"/>
        </w:rPr>
        <w:t>Pozor</w:t>
      </w:r>
    </w:p>
    <w:p>
      <w:pPr>
        <w:pStyle w:val="ListBullet"/>
      </w:pPr>
      <w:r>
        <w:t>Výmluvy a pomalé odpovědi.</w:t>
      </w:r>
    </w:p>
    <w:p>
      <w:pPr>
        <w:pStyle w:val="ListBullet"/>
      </w:pPr>
      <w:r>
        <w:t>Slibuje všechno, výsledek je jiný.</w:t>
      </w:r>
    </w:p>
    <w:p>
      <w:pPr>
        <w:pStyle w:val="ListBullet"/>
      </w:pPr>
      <w:r>
        <w:t>Brání se zpětné vazbě.</w:t>
      </w:r>
    </w:p>
    <w:p>
      <w:pPr>
        <w:pStyle w:val="ListBullet"/>
      </w:pPr>
      <w:r>
        <w:t>Každý úkol se musí vysvětlovat znovu.</w:t>
      </w:r>
    </w:p>
    <w:p>
      <w:pPr>
        <w:pStyle w:val="ListBullet"/>
      </w:pPr>
      <w:r>
        <w:t>Nemá žádný příklad z praxe.</w:t>
      </w:r>
    </w:p>
    <w:p>
      <w:pPr>
        <w:pStyle w:val="Heading1"/>
      </w:pPr>
      <w:r>
        <w:rPr>
          <w:rFonts w:ascii="Calibri" w:hAnsi="Calibri"/>
          <w:color w:val="1F4F5C"/>
        </w:rPr>
        <w:t>5. Hodnoticí tabulka</w:t>
      </w:r>
    </w:p>
    <w:p>
      <w:r>
        <w:t>Ke každému uchazeči doplňte hodnocení 1 (špatně) až 5 (výborně).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Kritérium</w:t>
            </w:r>
          </w:p>
        </w:tc>
        <w:tc>
          <w:tcPr>
            <w:tcW w:type="dxa" w:w="2436"/>
          </w:tcPr>
          <w:p>
            <w:r>
              <w:t>Uchazeč A</w:t>
            </w:r>
          </w:p>
        </w:tc>
        <w:tc>
          <w:tcPr>
            <w:tcW w:type="dxa" w:w="2436"/>
          </w:tcPr>
          <w:p>
            <w:r>
              <w:t>Uchazeč B</w:t>
            </w:r>
          </w:p>
        </w:tc>
        <w:tc>
          <w:tcPr>
            <w:tcW w:type="dxa" w:w="2436"/>
          </w:tcPr>
          <w:p>
            <w:r>
              <w:t>Uchazeč C</w:t>
            </w:r>
          </w:p>
        </w:tc>
      </w:tr>
      <w:tr>
        <w:tc>
          <w:tcPr>
            <w:tcW w:type="dxa" w:w="2436"/>
          </w:tcPr>
          <w:p>
            <w:r>
              <w:t>Zkušenost s mými úkoly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Komunikace a rychlost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Samostatnost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Spolehlivost a zastupitelnost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Citlivost k datům (mlčenlivost)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Shoda se způsobem, jakým pracuji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  <w:tr>
        <w:tc>
          <w:tcPr>
            <w:tcW w:type="dxa" w:w="2436"/>
          </w:tcPr>
          <w:p>
            <w:r>
              <w:t>Cena vzhledem k rozsahu</w:t>
            </w:r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  <w:tc>
          <w:tcPr>
            <w:tcW w:type="dxa" w:w="2436"/>
          </w:tcPr>
          <w:p>
            <w:r/>
          </w:p>
        </w:tc>
      </w:tr>
    </w:tbl>
    <w:p/>
    <w:p>
      <w:pPr>
        <w:pStyle w:val="Heading1"/>
      </w:pPr>
      <w:r>
        <w:rPr>
          <w:rFonts w:ascii="Calibri" w:hAnsi="Calibri"/>
          <w:color w:val="1F4F5C"/>
        </w:rPr>
        <w:t>6. Co patří do dohody</w:t>
      </w:r>
    </w:p>
    <w:p>
      <w:pPr>
        <w:pStyle w:val="ListBullet"/>
      </w:pPr>
      <w:r>
        <w:t>seznam úkolů a rozsah hodin</w:t>
      </w:r>
    </w:p>
    <w:p>
      <w:pPr>
        <w:pStyle w:val="ListBullet"/>
      </w:pPr>
      <w:r>
        <w:t>lhůty na odpověď</w:t>
      </w:r>
    </w:p>
    <w:p>
      <w:pPr>
        <w:pStyle w:val="ListBullet"/>
      </w:pPr>
      <w:r>
        <w:t>výpovědní lhůta (v době zkušební kratší)</w:t>
      </w:r>
    </w:p>
    <w:p>
      <w:pPr>
        <w:pStyle w:val="ListBullet"/>
      </w:pPr>
      <w:r>
        <w:t>mlčenlivost</w:t>
      </w:r>
    </w:p>
    <w:p>
      <w:pPr>
        <w:pStyle w:val="ListBullet"/>
      </w:pPr>
      <w:r>
        <w:t>komu patří výsledky práce</w:t>
      </w:r>
    </w:p>
    <w:p>
      <w:pPr>
        <w:pStyle w:val="ListBullet"/>
      </w:pPr>
      <w:r>
        <w:t>způsob a termín fakturace</w:t>
      </w:r>
    </w:p>
    <w:p/>
    <w:p>
      <w:r>
        <w:t>Potřebujete poradit? info@executiveassist.cz, první konzultace je zdarma.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